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75A3138E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444A31">
        <w:rPr>
          <w:rFonts w:ascii="Times New Roman" w:hAnsi="Times New Roman" w:cs="Times New Roman"/>
          <w:b/>
          <w:sz w:val="26"/>
          <w:szCs w:val="26"/>
        </w:rPr>
        <w:t xml:space="preserve">, MECR, au chemin du Jonc, 6A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A31">
        <w:rPr>
          <w:rFonts w:ascii="Times New Roman" w:hAnsi="Times New Roman" w:cs="Times New Roman"/>
          <w:b/>
          <w:sz w:val="26"/>
          <w:szCs w:val="26"/>
        </w:rPr>
        <w:t>330049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444A31">
        <w:rPr>
          <w:rFonts w:ascii="Times New Roman" w:hAnsi="Times New Roman" w:cs="Times New Roman"/>
          <w:b/>
          <w:sz w:val="26"/>
          <w:szCs w:val="26"/>
        </w:rPr>
        <w:t>21.12.2023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4E3C9F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44A31">
        <w:rPr>
          <w:b/>
        </w:rPr>
        <w:t>19.01.2024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44A31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2023-12-22T06:56:00Z</dcterms:created>
  <dcterms:modified xsi:type="dcterms:W3CDTF">2023-12-22T06:56:00Z</dcterms:modified>
</cp:coreProperties>
</file>